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102DCC60" w:rsidR="00DF43EF" w:rsidRPr="00E10724" w:rsidRDefault="00D00DD8" w:rsidP="00DF43EF">
      <w:pPr>
        <w:rPr>
          <w:b/>
          <w:bCs/>
          <w:sz w:val="32"/>
          <w:szCs w:val="32"/>
        </w:rPr>
      </w:pPr>
      <w:r>
        <w:rPr>
          <w:b/>
          <w:bCs/>
          <w:sz w:val="32"/>
          <w:szCs w:val="32"/>
        </w:rPr>
        <w:t>Fiche prestation « </w:t>
      </w:r>
      <w:r w:rsidR="00A737BC" w:rsidRPr="00A737BC">
        <w:rPr>
          <w:b/>
          <w:bCs/>
          <w:sz w:val="32"/>
          <w:szCs w:val="32"/>
        </w:rPr>
        <w:t>ACCOMPAGNEMENT À LA COMMANDE PUBLIQUE</w:t>
      </w:r>
      <w:r w:rsidR="00A737BC">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42A1E300" w14:textId="0D6EC307" w:rsidR="00A737BC"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77100" w:history="1">
            <w:r w:rsidR="00A737BC" w:rsidRPr="00300B3B">
              <w:rPr>
                <w:rStyle w:val="Lienhypertexte"/>
              </w:rPr>
              <w:t>I.</w:t>
            </w:r>
            <w:r w:rsidR="00A737BC">
              <w:rPr>
                <w:rFonts w:asciiTheme="minorHAnsi" w:eastAsiaTheme="minorEastAsia" w:hAnsiTheme="minorHAnsi" w:cstheme="minorBidi"/>
                <w:b w:val="0"/>
                <w:bCs w:val="0"/>
                <w:kern w:val="2"/>
                <w:sz w:val="24"/>
                <w:szCs w:val="24"/>
                <w14:ligatures w14:val="standardContextual"/>
              </w:rPr>
              <w:tab/>
            </w:r>
            <w:r w:rsidR="00A737BC" w:rsidRPr="00300B3B">
              <w:rPr>
                <w:rStyle w:val="Lienhypertexte"/>
              </w:rPr>
              <w:t>VOS OBJECTIFS</w:t>
            </w:r>
            <w:r w:rsidR="00A737BC">
              <w:rPr>
                <w:webHidden/>
              </w:rPr>
              <w:tab/>
            </w:r>
            <w:r w:rsidR="00A737BC">
              <w:rPr>
                <w:webHidden/>
              </w:rPr>
              <w:fldChar w:fldCharType="begin"/>
            </w:r>
            <w:r w:rsidR="00A737BC">
              <w:rPr>
                <w:webHidden/>
              </w:rPr>
              <w:instrText xml:space="preserve"> PAGEREF _Toc208777100 \h </w:instrText>
            </w:r>
            <w:r w:rsidR="00A737BC">
              <w:rPr>
                <w:webHidden/>
              </w:rPr>
            </w:r>
            <w:r w:rsidR="00A737BC">
              <w:rPr>
                <w:webHidden/>
              </w:rPr>
              <w:fldChar w:fldCharType="separate"/>
            </w:r>
            <w:r w:rsidR="00A737BC">
              <w:rPr>
                <w:webHidden/>
              </w:rPr>
              <w:t>1</w:t>
            </w:r>
            <w:r w:rsidR="00A737BC">
              <w:rPr>
                <w:webHidden/>
              </w:rPr>
              <w:fldChar w:fldCharType="end"/>
            </w:r>
          </w:hyperlink>
        </w:p>
        <w:p w14:paraId="578E5F00" w14:textId="477D77DE" w:rsidR="00A737BC" w:rsidRDefault="00A737BC">
          <w:pPr>
            <w:pStyle w:val="TM1"/>
            <w:rPr>
              <w:rFonts w:asciiTheme="minorHAnsi" w:eastAsiaTheme="minorEastAsia" w:hAnsiTheme="minorHAnsi" w:cstheme="minorBidi"/>
              <w:b w:val="0"/>
              <w:bCs w:val="0"/>
              <w:kern w:val="2"/>
              <w:sz w:val="24"/>
              <w:szCs w:val="24"/>
              <w14:ligatures w14:val="standardContextual"/>
            </w:rPr>
          </w:pPr>
          <w:hyperlink w:anchor="_Toc208777101" w:history="1">
            <w:r w:rsidRPr="00300B3B">
              <w:rPr>
                <w:rStyle w:val="Lienhypertexte"/>
              </w:rPr>
              <w:t>II.</w:t>
            </w:r>
            <w:r>
              <w:rPr>
                <w:rFonts w:asciiTheme="minorHAnsi" w:eastAsiaTheme="minorEastAsia" w:hAnsiTheme="minorHAnsi" w:cstheme="minorBidi"/>
                <w:b w:val="0"/>
                <w:bCs w:val="0"/>
                <w:kern w:val="2"/>
                <w:sz w:val="24"/>
                <w:szCs w:val="24"/>
                <w14:ligatures w14:val="standardContextual"/>
              </w:rPr>
              <w:tab/>
            </w:r>
            <w:r w:rsidRPr="00300B3B">
              <w:rPr>
                <w:rStyle w:val="Lienhypertexte"/>
              </w:rPr>
              <w:t>LES TARIFS</w:t>
            </w:r>
            <w:r>
              <w:rPr>
                <w:webHidden/>
              </w:rPr>
              <w:tab/>
            </w:r>
            <w:r>
              <w:rPr>
                <w:webHidden/>
              </w:rPr>
              <w:fldChar w:fldCharType="begin"/>
            </w:r>
            <w:r>
              <w:rPr>
                <w:webHidden/>
              </w:rPr>
              <w:instrText xml:space="preserve"> PAGEREF _Toc208777101 \h </w:instrText>
            </w:r>
            <w:r>
              <w:rPr>
                <w:webHidden/>
              </w:rPr>
            </w:r>
            <w:r>
              <w:rPr>
                <w:webHidden/>
              </w:rPr>
              <w:fldChar w:fldCharType="separate"/>
            </w:r>
            <w:r>
              <w:rPr>
                <w:webHidden/>
              </w:rPr>
              <w:t>1</w:t>
            </w:r>
            <w:r>
              <w:rPr>
                <w:webHidden/>
              </w:rPr>
              <w:fldChar w:fldCharType="end"/>
            </w:r>
          </w:hyperlink>
        </w:p>
        <w:p w14:paraId="0BDF6157" w14:textId="61414498" w:rsidR="00A737BC" w:rsidRDefault="00A737BC">
          <w:pPr>
            <w:pStyle w:val="TM1"/>
            <w:rPr>
              <w:rFonts w:asciiTheme="minorHAnsi" w:eastAsiaTheme="minorEastAsia" w:hAnsiTheme="minorHAnsi" w:cstheme="minorBidi"/>
              <w:b w:val="0"/>
              <w:bCs w:val="0"/>
              <w:kern w:val="2"/>
              <w:sz w:val="24"/>
              <w:szCs w:val="24"/>
              <w14:ligatures w14:val="standardContextual"/>
            </w:rPr>
          </w:pPr>
          <w:hyperlink w:anchor="_Toc208777102" w:history="1">
            <w:r w:rsidRPr="00300B3B">
              <w:rPr>
                <w:rStyle w:val="Lienhypertexte"/>
              </w:rPr>
              <w:t>III.</w:t>
            </w:r>
            <w:r>
              <w:rPr>
                <w:rFonts w:asciiTheme="minorHAnsi" w:eastAsiaTheme="minorEastAsia" w:hAnsiTheme="minorHAnsi" w:cstheme="minorBidi"/>
                <w:b w:val="0"/>
                <w:bCs w:val="0"/>
                <w:kern w:val="2"/>
                <w:sz w:val="24"/>
                <w:szCs w:val="24"/>
                <w14:ligatures w14:val="standardContextual"/>
              </w:rPr>
              <w:tab/>
            </w:r>
            <w:r w:rsidRPr="00300B3B">
              <w:rPr>
                <w:rStyle w:val="Lienhypertexte"/>
              </w:rPr>
              <w:t>LES CONTACTS</w:t>
            </w:r>
            <w:r>
              <w:rPr>
                <w:webHidden/>
              </w:rPr>
              <w:tab/>
            </w:r>
            <w:r>
              <w:rPr>
                <w:webHidden/>
              </w:rPr>
              <w:fldChar w:fldCharType="begin"/>
            </w:r>
            <w:r>
              <w:rPr>
                <w:webHidden/>
              </w:rPr>
              <w:instrText xml:space="preserve"> PAGEREF _Toc208777102 \h </w:instrText>
            </w:r>
            <w:r>
              <w:rPr>
                <w:webHidden/>
              </w:rPr>
            </w:r>
            <w:r>
              <w:rPr>
                <w:webHidden/>
              </w:rPr>
              <w:fldChar w:fldCharType="separate"/>
            </w:r>
            <w:r>
              <w:rPr>
                <w:webHidden/>
              </w:rPr>
              <w:t>2</w:t>
            </w:r>
            <w:r>
              <w:rPr>
                <w:webHidden/>
              </w:rPr>
              <w:fldChar w:fldCharType="end"/>
            </w:r>
          </w:hyperlink>
        </w:p>
        <w:p w14:paraId="13A5EE05" w14:textId="0B331147" w:rsidR="00A737BC" w:rsidRDefault="00A737BC">
          <w:pPr>
            <w:pStyle w:val="TM1"/>
            <w:rPr>
              <w:rFonts w:asciiTheme="minorHAnsi" w:eastAsiaTheme="minorEastAsia" w:hAnsiTheme="minorHAnsi" w:cstheme="minorBidi"/>
              <w:b w:val="0"/>
              <w:bCs w:val="0"/>
              <w:kern w:val="2"/>
              <w:sz w:val="24"/>
              <w:szCs w:val="24"/>
              <w14:ligatures w14:val="standardContextual"/>
            </w:rPr>
          </w:pPr>
          <w:hyperlink w:anchor="_Toc208777103" w:history="1">
            <w:r w:rsidRPr="00300B3B">
              <w:rPr>
                <w:rStyle w:val="Lienhypertexte"/>
              </w:rPr>
              <w:t>IV.</w:t>
            </w:r>
            <w:r>
              <w:rPr>
                <w:rFonts w:asciiTheme="minorHAnsi" w:eastAsiaTheme="minorEastAsia" w:hAnsiTheme="minorHAnsi" w:cstheme="minorBidi"/>
                <w:b w:val="0"/>
                <w:bCs w:val="0"/>
                <w:kern w:val="2"/>
                <w:sz w:val="24"/>
                <w:szCs w:val="24"/>
                <w14:ligatures w14:val="standardContextual"/>
              </w:rPr>
              <w:tab/>
            </w:r>
            <w:r w:rsidRPr="00300B3B">
              <w:rPr>
                <w:rStyle w:val="Lienhypertexte"/>
              </w:rPr>
              <w:t>NOS SOLUTIONS</w:t>
            </w:r>
            <w:r>
              <w:rPr>
                <w:webHidden/>
              </w:rPr>
              <w:tab/>
            </w:r>
            <w:r>
              <w:rPr>
                <w:webHidden/>
              </w:rPr>
              <w:fldChar w:fldCharType="begin"/>
            </w:r>
            <w:r>
              <w:rPr>
                <w:webHidden/>
              </w:rPr>
              <w:instrText xml:space="preserve"> PAGEREF _Toc208777103 \h </w:instrText>
            </w:r>
            <w:r>
              <w:rPr>
                <w:webHidden/>
              </w:rPr>
            </w:r>
            <w:r>
              <w:rPr>
                <w:webHidden/>
              </w:rPr>
              <w:fldChar w:fldCharType="separate"/>
            </w:r>
            <w:r>
              <w:rPr>
                <w:webHidden/>
              </w:rPr>
              <w:t>2</w:t>
            </w:r>
            <w:r>
              <w:rPr>
                <w:webHidden/>
              </w:rPr>
              <w:fldChar w:fldCharType="end"/>
            </w:r>
          </w:hyperlink>
        </w:p>
        <w:p w14:paraId="5FA8FE1F" w14:textId="156C3066" w:rsidR="00A737BC" w:rsidRDefault="00A737BC">
          <w:pPr>
            <w:pStyle w:val="TM1"/>
            <w:rPr>
              <w:rFonts w:asciiTheme="minorHAnsi" w:eastAsiaTheme="minorEastAsia" w:hAnsiTheme="minorHAnsi" w:cstheme="minorBidi"/>
              <w:b w:val="0"/>
              <w:bCs w:val="0"/>
              <w:kern w:val="2"/>
              <w:sz w:val="24"/>
              <w:szCs w:val="24"/>
              <w14:ligatures w14:val="standardContextual"/>
            </w:rPr>
          </w:pPr>
          <w:hyperlink w:anchor="_Toc208777104" w:history="1">
            <w:r w:rsidRPr="00300B3B">
              <w:rPr>
                <w:rStyle w:val="Lienhypertexte"/>
              </w:rPr>
              <w:t>V.</w:t>
            </w:r>
            <w:r>
              <w:rPr>
                <w:rFonts w:asciiTheme="minorHAnsi" w:eastAsiaTheme="minorEastAsia" w:hAnsiTheme="minorHAnsi" w:cstheme="minorBidi"/>
                <w:b w:val="0"/>
                <w:bCs w:val="0"/>
                <w:kern w:val="2"/>
                <w:sz w:val="24"/>
                <w:szCs w:val="24"/>
                <w14:ligatures w14:val="standardContextual"/>
              </w:rPr>
              <w:tab/>
            </w:r>
            <w:r w:rsidRPr="00300B3B">
              <w:rPr>
                <w:rStyle w:val="Lienhypertexte"/>
              </w:rPr>
              <w:t>LES AVANTAGES</w:t>
            </w:r>
            <w:r>
              <w:rPr>
                <w:webHidden/>
              </w:rPr>
              <w:tab/>
            </w:r>
            <w:r>
              <w:rPr>
                <w:webHidden/>
              </w:rPr>
              <w:fldChar w:fldCharType="begin"/>
            </w:r>
            <w:r>
              <w:rPr>
                <w:webHidden/>
              </w:rPr>
              <w:instrText xml:space="preserve"> PAGEREF _Toc208777104 \h </w:instrText>
            </w:r>
            <w:r>
              <w:rPr>
                <w:webHidden/>
              </w:rPr>
            </w:r>
            <w:r>
              <w:rPr>
                <w:webHidden/>
              </w:rPr>
              <w:fldChar w:fldCharType="separate"/>
            </w:r>
            <w:r>
              <w:rPr>
                <w:webHidden/>
              </w:rPr>
              <w:t>2</w:t>
            </w:r>
            <w:r>
              <w:rPr>
                <w:webHidden/>
              </w:rPr>
              <w:fldChar w:fldCharType="end"/>
            </w:r>
          </w:hyperlink>
        </w:p>
        <w:p w14:paraId="505BAF13" w14:textId="7129CFF6" w:rsidR="00D00DD8" w:rsidRDefault="00222AA2" w:rsidP="00D00DD8">
          <w:r>
            <w:fldChar w:fldCharType="end"/>
          </w:r>
        </w:p>
      </w:sdtContent>
    </w:sdt>
    <w:p w14:paraId="2341900F" w14:textId="77777777" w:rsidR="00A737BC" w:rsidRDefault="00A737BC" w:rsidP="00A737BC">
      <w:r>
        <w:t>Les Centres de Gestion peuvent maintenant assurer toute tâche administrative, des missions d’archivage, de numérisation, de conseils en organisation et de conseils juridiques, à la demande des collectivités et établissements. Le Centre de Gestion du Finistère peut à ce titre intervenir en tant que conseil juridique aux collectivités à l’occasion de la passation de leurs contrats relevant de la commande publique (fournitures et services).</w:t>
      </w:r>
    </w:p>
    <w:p w14:paraId="41030F3A" w14:textId="25404A45" w:rsidR="00D00DD8" w:rsidRDefault="00A737BC" w:rsidP="00A737BC">
      <w:r>
        <w:t>Les évolutions de la commande publique impliquent une vigilance accrue des collectivités en vue du respect des grands principes applicables à cette matière que sont la liberté d’accès à la commande publique, l’égalité de traitement des candidats et la transparence des procédures. Vous ne possédez pas en interne les ressources ou compétences nécessaires ? Le Centre de Gestion du Finistère peut vous accompagner.</w:t>
      </w:r>
    </w:p>
    <w:p w14:paraId="5EE4AB88" w14:textId="77777777" w:rsidR="00A737BC" w:rsidRDefault="00A737BC" w:rsidP="00A737BC"/>
    <w:p w14:paraId="632011EE" w14:textId="0ACD365A" w:rsidR="00E87E3A" w:rsidRPr="003C0EC2" w:rsidRDefault="00D00DD8" w:rsidP="00854CD5">
      <w:pPr>
        <w:pStyle w:val="Titre1"/>
        <w:jc w:val="both"/>
      </w:pPr>
      <w:bookmarkStart w:id="2" w:name="_Toc208777100"/>
      <w:r w:rsidRPr="00D00DD8">
        <w:t>VOS OBJECTIFS</w:t>
      </w:r>
      <w:bookmarkEnd w:id="1"/>
      <w:bookmarkEnd w:id="0"/>
      <w:bookmarkEnd w:id="2"/>
    </w:p>
    <w:p w14:paraId="6172BB56" w14:textId="57D80D18" w:rsidR="00A737BC" w:rsidRDefault="00A737BC" w:rsidP="00A737BC">
      <w:pPr>
        <w:pStyle w:val="Paragraphedeliste"/>
        <w:numPr>
          <w:ilvl w:val="0"/>
          <w:numId w:val="53"/>
        </w:numPr>
      </w:pPr>
      <w:r>
        <w:t>Assurer la sécurité juridique de vos procédures.</w:t>
      </w:r>
    </w:p>
    <w:p w14:paraId="0989CE07" w14:textId="2E5FDC2D" w:rsidR="00A737BC" w:rsidRDefault="00A737BC" w:rsidP="00A737BC">
      <w:pPr>
        <w:pStyle w:val="Paragraphedeliste"/>
        <w:numPr>
          <w:ilvl w:val="0"/>
          <w:numId w:val="53"/>
        </w:numPr>
      </w:pPr>
      <w:r>
        <w:t>Élaborer des procédures de passation efficaces, fructueuses, préparant au mieux l’exécution du contrat.</w:t>
      </w:r>
    </w:p>
    <w:p w14:paraId="194753CF" w14:textId="0609B4C1" w:rsidR="00D00DD8" w:rsidRDefault="00A737BC" w:rsidP="00D00DD8">
      <w:pPr>
        <w:pStyle w:val="Paragraphedeliste"/>
        <w:numPr>
          <w:ilvl w:val="0"/>
          <w:numId w:val="53"/>
        </w:numPr>
      </w:pPr>
      <w:r>
        <w:t>Être accompagné dans la dématérialisation des marchés publics.</w:t>
      </w:r>
    </w:p>
    <w:p w14:paraId="17FD6AE2" w14:textId="77777777" w:rsidR="004D79D8" w:rsidRDefault="004D79D8" w:rsidP="004D79D8"/>
    <w:p w14:paraId="25C47FD4" w14:textId="77777777" w:rsidR="00D00DD8" w:rsidRDefault="00D00DD8" w:rsidP="00D00DD8">
      <w:pPr>
        <w:pStyle w:val="Titre1"/>
      </w:pPr>
      <w:bookmarkStart w:id="3" w:name="_Toc208777101"/>
      <w:r>
        <w:t>LES TARIFS</w:t>
      </w:r>
      <w:bookmarkEnd w:id="3"/>
    </w:p>
    <w:p w14:paraId="33C0EFF2" w14:textId="6EC73244" w:rsidR="00D00DD8" w:rsidRDefault="00A737BC" w:rsidP="00D00DD8">
      <w:r w:rsidRPr="00A737BC">
        <w:t>Lors d’un entretien préalable avec un interlocuteur désigné dans la collectivité, une première « définition » des besoins de la collectivité est réalisée.</w:t>
      </w:r>
    </w:p>
    <w:p w14:paraId="4BC92D9E" w14:textId="7968F969" w:rsidR="00A737BC" w:rsidRDefault="00A737BC" w:rsidP="00A737BC">
      <w:r>
        <w:t>Les tarifs sont disponibles dans notre fonds documentaire en tapant le mot clé « tarif ».</w:t>
      </w:r>
    </w:p>
    <w:p w14:paraId="795C376B" w14:textId="77777777" w:rsidR="00A737BC" w:rsidRDefault="00A737BC" w:rsidP="00D00DD8"/>
    <w:p w14:paraId="558D3775" w14:textId="77777777" w:rsidR="00D00DD8" w:rsidRDefault="00D00DD8" w:rsidP="00D00DD8">
      <w:pPr>
        <w:pStyle w:val="Titre1"/>
      </w:pPr>
      <w:bookmarkStart w:id="4" w:name="_Toc208777102"/>
      <w:r>
        <w:t>LES CONTACTS</w:t>
      </w:r>
      <w:bookmarkEnd w:id="4"/>
    </w:p>
    <w:p w14:paraId="7E6AFDA5" w14:textId="370F5208" w:rsidR="00D00DD8" w:rsidRDefault="00D00DD8" w:rsidP="00D00DD8">
      <w:r>
        <w:t xml:space="preserve">Adresse courriel : </w:t>
      </w:r>
      <w:hyperlink r:id="rId8">
        <w:r w:rsidR="00A737BC">
          <w:rPr>
            <w:color w:val="231F20"/>
            <w:spacing w:val="-2"/>
          </w:rPr>
          <w:t>acdc@cdg29.bzh</w:t>
        </w:r>
      </w:hyperlink>
    </w:p>
    <w:p w14:paraId="26E55453" w14:textId="21E84899" w:rsidR="00D00DD8" w:rsidRDefault="00D00DD8" w:rsidP="00D00DD8">
      <w:r>
        <w:t>Téléphone : 02 98 64 11 30</w:t>
      </w:r>
    </w:p>
    <w:p w14:paraId="19A225C1" w14:textId="77777777" w:rsidR="00D00DD8" w:rsidRDefault="00D00DD8" w:rsidP="00D00DD8"/>
    <w:p w14:paraId="42A7BA8E" w14:textId="77777777" w:rsidR="00A737BC" w:rsidRDefault="00A737BC" w:rsidP="00A737BC">
      <w:pPr>
        <w:pStyle w:val="Titre1"/>
      </w:pPr>
      <w:bookmarkStart w:id="5" w:name="_Toc208777103"/>
      <w:r>
        <w:t>NOS SOLUTIONS</w:t>
      </w:r>
      <w:bookmarkEnd w:id="5"/>
    </w:p>
    <w:p w14:paraId="7AE57912" w14:textId="0E469D00" w:rsidR="00A737BC" w:rsidRDefault="00A737BC" w:rsidP="00A737BC">
      <w:r>
        <w:t>Nous assurons un accompagnement juridique tout au long de la procédure. Nous vous assistons dans le choix de la procédure de passation la plus adaptée aux besoins et au respect des obligations réglementaires, dans la rédaction de pièces/courriers ainsi que dans la gestion des délais.</w:t>
      </w:r>
    </w:p>
    <w:p w14:paraId="7193AF52" w14:textId="77777777" w:rsidR="00A737BC" w:rsidRDefault="00A737BC" w:rsidP="00A737BC">
      <w:r>
        <w:t>L’accompagnement juridique comprend :</w:t>
      </w:r>
    </w:p>
    <w:p w14:paraId="77940E4B" w14:textId="35FE1A9F" w:rsidR="00A737BC" w:rsidRDefault="00A737BC" w:rsidP="00A737BC">
      <w:pPr>
        <w:pStyle w:val="Paragraphedeliste"/>
        <w:numPr>
          <w:ilvl w:val="0"/>
          <w:numId w:val="55"/>
        </w:numPr>
      </w:pPr>
      <w:r>
        <w:t>Aide à la définition du besoin,</w:t>
      </w:r>
    </w:p>
    <w:p w14:paraId="05F55746" w14:textId="50B74C30" w:rsidR="00A737BC" w:rsidRDefault="00A737BC" w:rsidP="00A737BC">
      <w:pPr>
        <w:pStyle w:val="Paragraphedeliste"/>
        <w:numPr>
          <w:ilvl w:val="0"/>
          <w:numId w:val="55"/>
        </w:numPr>
      </w:pPr>
      <w:r>
        <w:t>Assistance à la rédaction du Dossier de consultation des entreprises,</w:t>
      </w:r>
    </w:p>
    <w:p w14:paraId="3021CE01" w14:textId="0FC15457" w:rsidR="00A737BC" w:rsidRDefault="00A737BC" w:rsidP="00A737BC">
      <w:pPr>
        <w:pStyle w:val="Paragraphedeliste"/>
        <w:numPr>
          <w:ilvl w:val="0"/>
          <w:numId w:val="55"/>
        </w:numPr>
      </w:pPr>
      <w:r>
        <w:t>Accompagnement à la réalisation des mesures de publicité,</w:t>
      </w:r>
    </w:p>
    <w:p w14:paraId="1BE8D156" w14:textId="54DCA69D" w:rsidR="00A737BC" w:rsidRDefault="00A737BC" w:rsidP="00A737BC">
      <w:pPr>
        <w:pStyle w:val="Paragraphedeliste"/>
        <w:numPr>
          <w:ilvl w:val="0"/>
          <w:numId w:val="55"/>
        </w:numPr>
      </w:pPr>
      <w:r>
        <w:t>Assistance à l’analyse des offres et à la rédaction du rapport d’analyse des offres,</w:t>
      </w:r>
    </w:p>
    <w:p w14:paraId="5878BF62" w14:textId="764C9DE6" w:rsidR="00A737BC" w:rsidRDefault="00A737BC" w:rsidP="00A737BC">
      <w:pPr>
        <w:pStyle w:val="Paragraphedeliste"/>
        <w:numPr>
          <w:ilvl w:val="0"/>
          <w:numId w:val="55"/>
        </w:numPr>
      </w:pPr>
      <w:r>
        <w:t>Assistance à la finalisation de la procédure : information des candidats évincés et mesures de notification.</w:t>
      </w:r>
    </w:p>
    <w:p w14:paraId="1B9D59BB" w14:textId="77777777" w:rsidR="00A737BC" w:rsidRDefault="00A737BC" w:rsidP="00A737BC"/>
    <w:p w14:paraId="75CD93D4" w14:textId="3CF114AE" w:rsidR="00D00DD8" w:rsidRDefault="00A737BC" w:rsidP="0025346C">
      <w:pPr>
        <w:pStyle w:val="Titre1"/>
      </w:pPr>
      <w:bookmarkStart w:id="6" w:name="_Toc208777104"/>
      <w:r w:rsidRPr="00A737BC">
        <w:t>LES AVANTAGES</w:t>
      </w:r>
      <w:bookmarkEnd w:id="6"/>
    </w:p>
    <w:p w14:paraId="58339F6D" w14:textId="1BC89FBC" w:rsidR="00486C40" w:rsidRDefault="00A737BC" w:rsidP="00A737BC">
      <w:r w:rsidRPr="00A737BC">
        <w:t>Bénéficiez de l’expertise de la cellule juridique du Centre de Gestion et gagnez du temps pour vos services</w:t>
      </w:r>
      <w:r>
        <w:t>.</w:t>
      </w:r>
    </w:p>
    <w:sectPr w:rsidR="00486C40" w:rsidSect="00EE1CE2">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D82C" w14:textId="77777777" w:rsidR="003034CD" w:rsidRDefault="003034CD">
      <w:pPr>
        <w:spacing w:after="0"/>
      </w:pPr>
      <w:r>
        <w:separator/>
      </w:r>
    </w:p>
  </w:endnote>
  <w:endnote w:type="continuationSeparator" w:id="0">
    <w:p w14:paraId="58C59E4E" w14:textId="77777777" w:rsidR="003034CD" w:rsidRDefault="00303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FFCE" w14:textId="77777777" w:rsidR="00CE55E6" w:rsidRDefault="00CE55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12BD9BD1"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0F0F524F" w14:textId="77777777" w:rsidR="00CE55E6" w:rsidRPr="00E20F1D" w:rsidRDefault="00CE55E6" w:rsidP="00CE55E6">
    <w:pPr>
      <w:pStyle w:val="Pieddepage"/>
      <w:spacing w:before="0" w:beforeAutospacing="0"/>
      <w:jc w:val="right"/>
      <w:rPr>
        <w:noProof/>
        <w:sz w:val="14"/>
        <w:szCs w:val="14"/>
      </w:rPr>
    </w:pPr>
    <w:r w:rsidRPr="00E20F1D">
      <w:rPr>
        <w:noProof/>
        <w:sz w:val="14"/>
        <w:szCs w:val="14"/>
      </w:rPr>
      <w:t>Centre de Gestion du Finistère</w:t>
    </w:r>
  </w:p>
  <w:p w14:paraId="59D548B6" w14:textId="77777777" w:rsidR="00CE55E6" w:rsidRPr="00E20F1D" w:rsidRDefault="00CE55E6" w:rsidP="00CE55E6">
    <w:pPr>
      <w:pStyle w:val="Pieddepage"/>
      <w:spacing w:before="0" w:beforeAutospacing="0"/>
      <w:jc w:val="right"/>
      <w:rPr>
        <w:noProof/>
        <w:sz w:val="14"/>
        <w:szCs w:val="14"/>
      </w:rPr>
    </w:pPr>
    <w:r w:rsidRPr="00E20F1D">
      <w:rPr>
        <w:noProof/>
        <w:sz w:val="14"/>
        <w:szCs w:val="14"/>
      </w:rPr>
      <w:t>7 Boulevard du Finistère · CS 44048 · 29337 Quimper Cedex</w:t>
    </w:r>
  </w:p>
  <w:p w14:paraId="665347CE" w14:textId="77777777" w:rsidR="00CE55E6" w:rsidRPr="00E20F1D" w:rsidRDefault="00CE55E6" w:rsidP="00CE55E6">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F3A0" w14:textId="77777777" w:rsidR="003034CD" w:rsidRDefault="003034CD">
      <w:pPr>
        <w:spacing w:after="0"/>
      </w:pPr>
      <w:r>
        <w:separator/>
      </w:r>
    </w:p>
  </w:footnote>
  <w:footnote w:type="continuationSeparator" w:id="0">
    <w:p w14:paraId="318AB443" w14:textId="77777777" w:rsidR="003034CD" w:rsidRDefault="00303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512" w14:textId="77777777" w:rsidR="00CE55E6" w:rsidRDefault="00CE55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D3E9" w14:textId="77777777" w:rsidR="00CE55E6" w:rsidRDefault="00CE55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D23629"/>
    <w:multiLevelType w:val="multilevel"/>
    <w:tmpl w:val="FB6AAE52"/>
    <w:numStyleLink w:val="StyleCDG29"/>
  </w:abstractNum>
  <w:abstractNum w:abstractNumId="12"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52DC0AD8"/>
    <w:multiLevelType w:val="multilevel"/>
    <w:tmpl w:val="FB6AAE52"/>
    <w:numStyleLink w:val="StyleCDG29"/>
  </w:abstractNum>
  <w:abstractNum w:abstractNumId="36"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9E56CE"/>
    <w:multiLevelType w:val="multilevel"/>
    <w:tmpl w:val="FB6AAE52"/>
    <w:numStyleLink w:val="StyleCDG29"/>
  </w:abstractNum>
  <w:abstractNum w:abstractNumId="48"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51"/>
  </w:num>
  <w:num w:numId="2" w16cid:durableId="1276867361">
    <w:abstractNumId w:val="44"/>
  </w:num>
  <w:num w:numId="3" w16cid:durableId="1791434139">
    <w:abstractNumId w:val="35"/>
  </w:num>
  <w:num w:numId="4" w16cid:durableId="579755477">
    <w:abstractNumId w:val="11"/>
  </w:num>
  <w:num w:numId="5" w16cid:durableId="348408811">
    <w:abstractNumId w:val="47"/>
  </w:num>
  <w:num w:numId="6" w16cid:durableId="829365018">
    <w:abstractNumId w:val="21"/>
  </w:num>
  <w:num w:numId="7" w16cid:durableId="481703836">
    <w:abstractNumId w:val="29"/>
  </w:num>
  <w:num w:numId="8" w16cid:durableId="1037856742">
    <w:abstractNumId w:val="7"/>
  </w:num>
  <w:num w:numId="9" w16cid:durableId="882864025">
    <w:abstractNumId w:val="23"/>
  </w:num>
  <w:num w:numId="10" w16cid:durableId="1760516121">
    <w:abstractNumId w:val="17"/>
  </w:num>
  <w:num w:numId="11" w16cid:durableId="1685940671">
    <w:abstractNumId w:val="39"/>
  </w:num>
  <w:num w:numId="12" w16cid:durableId="1071856059">
    <w:abstractNumId w:val="42"/>
  </w:num>
  <w:num w:numId="13" w16cid:durableId="1958289807">
    <w:abstractNumId w:val="12"/>
  </w:num>
  <w:num w:numId="14" w16cid:durableId="1790776872">
    <w:abstractNumId w:val="27"/>
  </w:num>
  <w:num w:numId="15" w16cid:durableId="1048145195">
    <w:abstractNumId w:val="45"/>
  </w:num>
  <w:num w:numId="16" w16cid:durableId="1501895137">
    <w:abstractNumId w:val="52"/>
  </w:num>
  <w:num w:numId="17" w16cid:durableId="290943727">
    <w:abstractNumId w:val="26"/>
  </w:num>
  <w:num w:numId="18" w16cid:durableId="1431464905">
    <w:abstractNumId w:val="37"/>
  </w:num>
  <w:num w:numId="19" w16cid:durableId="2049068742">
    <w:abstractNumId w:val="50"/>
  </w:num>
  <w:num w:numId="20" w16cid:durableId="1772705373">
    <w:abstractNumId w:val="18"/>
  </w:num>
  <w:num w:numId="21" w16cid:durableId="949706886">
    <w:abstractNumId w:val="25"/>
  </w:num>
  <w:num w:numId="22" w16cid:durableId="1854302915">
    <w:abstractNumId w:val="5"/>
  </w:num>
  <w:num w:numId="23" w16cid:durableId="343870721">
    <w:abstractNumId w:val="3"/>
  </w:num>
  <w:num w:numId="24" w16cid:durableId="428350529">
    <w:abstractNumId w:val="15"/>
  </w:num>
  <w:num w:numId="25" w16cid:durableId="339697173">
    <w:abstractNumId w:val="1"/>
  </w:num>
  <w:num w:numId="26" w16cid:durableId="1871645114">
    <w:abstractNumId w:val="43"/>
  </w:num>
  <w:num w:numId="27" w16cid:durableId="125004772">
    <w:abstractNumId w:val="32"/>
  </w:num>
  <w:num w:numId="28" w16cid:durableId="1645433101">
    <w:abstractNumId w:val="9"/>
  </w:num>
  <w:num w:numId="29" w16cid:durableId="1380477469">
    <w:abstractNumId w:val="8"/>
  </w:num>
  <w:num w:numId="30" w16cid:durableId="455878012">
    <w:abstractNumId w:val="20"/>
  </w:num>
  <w:num w:numId="31" w16cid:durableId="1559903044">
    <w:abstractNumId w:val="36"/>
  </w:num>
  <w:num w:numId="32" w16cid:durableId="619528948">
    <w:abstractNumId w:val="38"/>
  </w:num>
  <w:num w:numId="33" w16cid:durableId="1583566419">
    <w:abstractNumId w:val="6"/>
  </w:num>
  <w:num w:numId="34" w16cid:durableId="1607540003">
    <w:abstractNumId w:val="2"/>
  </w:num>
  <w:num w:numId="35" w16cid:durableId="368839942">
    <w:abstractNumId w:val="30"/>
  </w:num>
  <w:num w:numId="36" w16cid:durableId="1818105065">
    <w:abstractNumId w:val="41"/>
  </w:num>
  <w:num w:numId="37" w16cid:durableId="284969122">
    <w:abstractNumId w:val="22"/>
  </w:num>
  <w:num w:numId="38" w16cid:durableId="644090322">
    <w:abstractNumId w:val="46"/>
  </w:num>
  <w:num w:numId="39" w16cid:durableId="2104182130">
    <w:abstractNumId w:val="48"/>
  </w:num>
  <w:num w:numId="40" w16cid:durableId="559099431">
    <w:abstractNumId w:val="33"/>
  </w:num>
  <w:num w:numId="41" w16cid:durableId="161046311">
    <w:abstractNumId w:val="0"/>
  </w:num>
  <w:num w:numId="42" w16cid:durableId="1422484795">
    <w:abstractNumId w:val="34"/>
  </w:num>
  <w:num w:numId="43" w16cid:durableId="534930565">
    <w:abstractNumId w:val="54"/>
  </w:num>
  <w:num w:numId="44" w16cid:durableId="1452899719">
    <w:abstractNumId w:val="49"/>
  </w:num>
  <w:num w:numId="45" w16cid:durableId="149247993">
    <w:abstractNumId w:val="16"/>
  </w:num>
  <w:num w:numId="46" w16cid:durableId="2110000503">
    <w:abstractNumId w:val="28"/>
  </w:num>
  <w:num w:numId="47" w16cid:durableId="811755577">
    <w:abstractNumId w:val="10"/>
  </w:num>
  <w:num w:numId="48" w16cid:durableId="1765540710">
    <w:abstractNumId w:val="4"/>
  </w:num>
  <w:num w:numId="49" w16cid:durableId="236912671">
    <w:abstractNumId w:val="40"/>
  </w:num>
  <w:num w:numId="50" w16cid:durableId="1644768762">
    <w:abstractNumId w:val="53"/>
  </w:num>
  <w:num w:numId="51" w16cid:durableId="563181294">
    <w:abstractNumId w:val="31"/>
  </w:num>
  <w:num w:numId="52" w16cid:durableId="731779641">
    <w:abstractNumId w:val="24"/>
  </w:num>
  <w:num w:numId="53" w16cid:durableId="182132538">
    <w:abstractNumId w:val="19"/>
  </w:num>
  <w:num w:numId="54" w16cid:durableId="698971538">
    <w:abstractNumId w:val="13"/>
  </w:num>
  <w:num w:numId="55" w16cid:durableId="1817330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23DA2"/>
    <w:rsid w:val="00037CF9"/>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3519"/>
    <w:rsid w:val="00125163"/>
    <w:rsid w:val="0013050A"/>
    <w:rsid w:val="00172225"/>
    <w:rsid w:val="001728C7"/>
    <w:rsid w:val="001809FD"/>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F648F"/>
    <w:rsid w:val="003034CD"/>
    <w:rsid w:val="00303AE4"/>
    <w:rsid w:val="00307123"/>
    <w:rsid w:val="003208CA"/>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50F9D"/>
    <w:rsid w:val="00574F80"/>
    <w:rsid w:val="00595352"/>
    <w:rsid w:val="005C03FD"/>
    <w:rsid w:val="005D2549"/>
    <w:rsid w:val="005D7AC8"/>
    <w:rsid w:val="005E21F9"/>
    <w:rsid w:val="005E4367"/>
    <w:rsid w:val="0063768D"/>
    <w:rsid w:val="00655CF7"/>
    <w:rsid w:val="006917E4"/>
    <w:rsid w:val="00694634"/>
    <w:rsid w:val="00695B34"/>
    <w:rsid w:val="006B5661"/>
    <w:rsid w:val="006D1E84"/>
    <w:rsid w:val="006D7CB9"/>
    <w:rsid w:val="006F61BE"/>
    <w:rsid w:val="006F7112"/>
    <w:rsid w:val="006F7162"/>
    <w:rsid w:val="007041D2"/>
    <w:rsid w:val="00704706"/>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E0907"/>
    <w:rsid w:val="0091141F"/>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E55E6"/>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dc@cdg29.bz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2</TotalTime>
  <Pages>2</Pages>
  <Words>434</Words>
  <Characters>2390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2025-09-14T19:18:00Z</dcterms:created>
  <dcterms:modified xsi:type="dcterms:W3CDTF">2025-09-15T12:59:00Z</dcterms:modified>
</cp:coreProperties>
</file>