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12EAA027" w:rsidR="00DF43EF" w:rsidRPr="00E10724" w:rsidRDefault="00D00DD8" w:rsidP="00DF43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prestation « </w:t>
      </w:r>
      <w:r w:rsidR="005B2D06" w:rsidRPr="005B2D06">
        <w:rPr>
          <w:b/>
          <w:bCs/>
          <w:sz w:val="32"/>
          <w:szCs w:val="32"/>
        </w:rPr>
        <w:t>L’ASSURANCE STATUTAIRE</w:t>
      </w:r>
      <w:r w:rsidR="005B2D0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23814312" w:displacedByCustomXml="next"/>
    <w:bookmarkStart w:id="1" w:name="_Toc138240101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062B34D7" w14:textId="6C64F9C5" w:rsidR="00F375EA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779367" w:history="1">
            <w:r w:rsidR="00F375EA" w:rsidRPr="00477926">
              <w:rPr>
                <w:rStyle w:val="Lienhypertexte"/>
              </w:rPr>
              <w:t>I.</w:t>
            </w:r>
            <w:r w:rsidR="00F375EA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F375EA" w:rsidRPr="00477926">
              <w:rPr>
                <w:rStyle w:val="Lienhypertexte"/>
              </w:rPr>
              <w:t>VOS OBJECTIFS</w:t>
            </w:r>
            <w:r w:rsidR="00F375EA">
              <w:rPr>
                <w:webHidden/>
              </w:rPr>
              <w:tab/>
            </w:r>
            <w:r w:rsidR="00F375EA">
              <w:rPr>
                <w:webHidden/>
              </w:rPr>
              <w:fldChar w:fldCharType="begin"/>
            </w:r>
            <w:r w:rsidR="00F375EA">
              <w:rPr>
                <w:webHidden/>
              </w:rPr>
              <w:instrText xml:space="preserve"> PAGEREF _Toc208779367 \h </w:instrText>
            </w:r>
            <w:r w:rsidR="00F375EA">
              <w:rPr>
                <w:webHidden/>
              </w:rPr>
            </w:r>
            <w:r w:rsidR="00F375EA">
              <w:rPr>
                <w:webHidden/>
              </w:rPr>
              <w:fldChar w:fldCharType="separate"/>
            </w:r>
            <w:r w:rsidR="00F375EA">
              <w:rPr>
                <w:webHidden/>
              </w:rPr>
              <w:t>2</w:t>
            </w:r>
            <w:r w:rsidR="00F375EA">
              <w:rPr>
                <w:webHidden/>
              </w:rPr>
              <w:fldChar w:fldCharType="end"/>
            </w:r>
          </w:hyperlink>
        </w:p>
        <w:p w14:paraId="4296C624" w14:textId="3612B95A" w:rsidR="00F375EA" w:rsidRDefault="00F375E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79368" w:history="1">
            <w:r w:rsidRPr="00477926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</w:rPr>
              <w:t>NOS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_Toc208779368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D3C2919" w14:textId="27D37A11" w:rsidR="00F375EA" w:rsidRDefault="00F375E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79369" w:history="1">
            <w:r w:rsidRPr="00477926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</w:rPr>
              <w:t>LES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_Toc208779369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8016BA3" w14:textId="246D888F" w:rsidR="00F375EA" w:rsidRDefault="00F375E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79370" w:history="1">
            <w:r w:rsidRPr="00477926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</w:rPr>
              <w:t>LES TARIFS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_Toc208779370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98B37F6" w14:textId="79B0CB29" w:rsidR="00F375EA" w:rsidRDefault="00F375E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79371" w:history="1">
            <w:r w:rsidRPr="00477926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</w:rPr>
              <w:t>LE DÉROULEMENT DE L’INTERVENTION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_Toc208779371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CEEBA00" w14:textId="4C4046B6" w:rsidR="00F375EA" w:rsidRDefault="00F375EA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79372" w:history="1">
            <w:r w:rsidRPr="00477926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  <w:noProof/>
              </w:rPr>
              <w:t>Phase préparatoire d’adhésion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_Toc208779372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FB3BA" w14:textId="548334B0" w:rsidR="00F375EA" w:rsidRDefault="00F375EA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79375" w:history="1">
            <w:r w:rsidRPr="00477926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  <w:noProof/>
              </w:rPr>
              <w:t>Pendant le contrat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_Toc208779375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166D4" w14:textId="615E628D" w:rsidR="00F375EA" w:rsidRDefault="00F375EA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79379" w:history="1">
            <w:r w:rsidRPr="00477926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7926">
              <w:rPr>
                <w:rStyle w:val="Lienhypertexte"/>
                <w:noProof/>
              </w:rPr>
              <w:t>Gestion des cotisations (2 appels de prime pendant l’année)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_Toc208779379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BAF13" w14:textId="4BB2CA9A" w:rsidR="00D00DD8" w:rsidRDefault="00222AA2" w:rsidP="00D00DD8">
          <w:r>
            <w:fldChar w:fldCharType="end"/>
          </w:r>
        </w:p>
      </w:sdtContent>
    </w:sdt>
    <w:p w14:paraId="57AC3779" w14:textId="77777777" w:rsidR="003E0FED" w:rsidRDefault="003E0FED" w:rsidP="003E0FED">
      <w:r>
        <w:t>Vous assumez la charge financière de la protection sociale de vos agents, notamment en cas de :</w:t>
      </w:r>
    </w:p>
    <w:p w14:paraId="04D90BA1" w14:textId="6E5ABC2A" w:rsidR="003E0FED" w:rsidRDefault="003E0FED" w:rsidP="003E0FED">
      <w:pPr>
        <w:pStyle w:val="Paragraphedeliste"/>
        <w:numPr>
          <w:ilvl w:val="0"/>
          <w:numId w:val="66"/>
        </w:numPr>
      </w:pPr>
      <w:r>
        <w:t>Maladie professionnelle, accident de service, frais médicaux,</w:t>
      </w:r>
    </w:p>
    <w:p w14:paraId="159FDDD5" w14:textId="3499F833" w:rsidR="003E0FED" w:rsidRDefault="003E0FED" w:rsidP="003E0FED">
      <w:pPr>
        <w:pStyle w:val="Paragraphedeliste"/>
        <w:numPr>
          <w:ilvl w:val="0"/>
          <w:numId w:val="66"/>
        </w:numPr>
      </w:pPr>
      <w:r>
        <w:t>Maladie ordinaire, maladie de longue durée, longue maladie, grave maladie,</w:t>
      </w:r>
    </w:p>
    <w:p w14:paraId="310DECA7" w14:textId="7A14AA28" w:rsidR="003E0FED" w:rsidRDefault="003E0FED" w:rsidP="003E0FED">
      <w:pPr>
        <w:pStyle w:val="Paragraphedeliste"/>
        <w:numPr>
          <w:ilvl w:val="0"/>
          <w:numId w:val="66"/>
        </w:numPr>
      </w:pPr>
      <w:r>
        <w:t>Temps partiel thérapeutique</w:t>
      </w:r>
    </w:p>
    <w:p w14:paraId="7E3C85F3" w14:textId="357E9276" w:rsidR="003E0FED" w:rsidRDefault="003E0FED" w:rsidP="003E0FED">
      <w:pPr>
        <w:pStyle w:val="Paragraphedeliste"/>
        <w:numPr>
          <w:ilvl w:val="0"/>
          <w:numId w:val="66"/>
        </w:numPr>
      </w:pPr>
      <w:r>
        <w:t>Maternité, adoption,</w:t>
      </w:r>
    </w:p>
    <w:p w14:paraId="72EBBFD3" w14:textId="5A4FC151" w:rsidR="003E0FED" w:rsidRDefault="003E0FED" w:rsidP="003E0FED">
      <w:pPr>
        <w:pStyle w:val="Paragraphedeliste"/>
        <w:numPr>
          <w:ilvl w:val="0"/>
          <w:numId w:val="66"/>
        </w:numPr>
      </w:pPr>
      <w:r>
        <w:t>Décès.</w:t>
      </w:r>
    </w:p>
    <w:p w14:paraId="4B3D8018" w14:textId="592AE7EE" w:rsidR="002F07C9" w:rsidRDefault="003E0FED" w:rsidP="003E0FED">
      <w:r>
        <w:t>Afin de se protéger contre les risques financiers inhérents à cette protection sociale, tout en bénéficiant d’avantages en matière de coût et délai de remboursement, le Centre de Gestion du Finistère a souscrit un contrat-groupe d’assurances, en vue de garantir les risques statutaires du personnel (agents affiliés à la CNRACL et agents IRCANTEC, titulaires ou non titulaires).</w:t>
      </w:r>
    </w:p>
    <w:p w14:paraId="747DB5B9" w14:textId="77777777" w:rsidR="003E0FED" w:rsidRDefault="003E0FED" w:rsidP="003E0FED"/>
    <w:p w14:paraId="632011EE" w14:textId="0ACD365A" w:rsidR="00E87E3A" w:rsidRPr="003C0EC2" w:rsidRDefault="00D00DD8" w:rsidP="00854CD5">
      <w:pPr>
        <w:pStyle w:val="Titre1"/>
        <w:jc w:val="both"/>
      </w:pPr>
      <w:bookmarkStart w:id="2" w:name="_Toc208779367"/>
      <w:r w:rsidRPr="00D00DD8">
        <w:t>VOS OBJECTIFS</w:t>
      </w:r>
      <w:bookmarkEnd w:id="1"/>
      <w:bookmarkEnd w:id="0"/>
      <w:bookmarkEnd w:id="2"/>
    </w:p>
    <w:p w14:paraId="07473FC4" w14:textId="77777777" w:rsidR="003E0FED" w:rsidRDefault="003E0FED" w:rsidP="003E0FED">
      <w:r>
        <w:t>Votre collectivité souhaite :</w:t>
      </w:r>
    </w:p>
    <w:p w14:paraId="5365F993" w14:textId="53BADC5B" w:rsidR="003E0FED" w:rsidRDefault="003E0FED" w:rsidP="003E0FED">
      <w:pPr>
        <w:pStyle w:val="Paragraphedeliste"/>
        <w:numPr>
          <w:ilvl w:val="0"/>
          <w:numId w:val="68"/>
        </w:numPr>
      </w:pPr>
      <w:r>
        <w:t>Bénéficier d’un contrat groupe attractif,</w:t>
      </w:r>
    </w:p>
    <w:p w14:paraId="0A245F29" w14:textId="332E45E2" w:rsidR="003E0FED" w:rsidRDefault="003E0FED" w:rsidP="003E0FED">
      <w:pPr>
        <w:pStyle w:val="Paragraphedeliste"/>
        <w:numPr>
          <w:ilvl w:val="0"/>
          <w:numId w:val="68"/>
        </w:numPr>
      </w:pPr>
      <w:r>
        <w:t>Garantir les risques statutaires,</w:t>
      </w:r>
    </w:p>
    <w:p w14:paraId="30636ACF" w14:textId="391C886F" w:rsidR="003E0FED" w:rsidRDefault="003E0FED" w:rsidP="003E0FED">
      <w:pPr>
        <w:pStyle w:val="Paragraphedeliste"/>
        <w:numPr>
          <w:ilvl w:val="0"/>
          <w:numId w:val="68"/>
        </w:numPr>
      </w:pPr>
      <w:r>
        <w:t>Faciliter la gestion des dossiers,</w:t>
      </w:r>
    </w:p>
    <w:p w14:paraId="4A22504B" w14:textId="3A17BF93" w:rsidR="003E0FED" w:rsidRDefault="003E0FED" w:rsidP="003E0FED">
      <w:pPr>
        <w:pStyle w:val="Paragraphedeliste"/>
        <w:numPr>
          <w:ilvl w:val="0"/>
          <w:numId w:val="68"/>
        </w:numPr>
      </w:pPr>
      <w:r>
        <w:t>Proposer des taux de cotisation intéressants à ses agents.</w:t>
      </w:r>
    </w:p>
    <w:p w14:paraId="42A7BA8E" w14:textId="5A4CE0DD" w:rsidR="00A737BC" w:rsidRDefault="00A737BC" w:rsidP="00A737BC">
      <w:pPr>
        <w:pStyle w:val="Titre1"/>
      </w:pPr>
      <w:bookmarkStart w:id="3" w:name="_Toc208779368"/>
      <w:r>
        <w:lastRenderedPageBreak/>
        <w:t>NOS SOLUTIONS</w:t>
      </w:r>
      <w:bookmarkEnd w:id="3"/>
    </w:p>
    <w:p w14:paraId="1F5BE6A7" w14:textId="77777777" w:rsidR="003E0FED" w:rsidRDefault="003E0FED" w:rsidP="003E0FED">
      <w:r>
        <w:t>Le Centre de Gestion du Finistère a souscrit un contrat-groupe d’assurances, auquel votre collectivité peut adhérer.</w:t>
      </w:r>
    </w:p>
    <w:p w14:paraId="1B9D59BB" w14:textId="23AC66B7" w:rsidR="00A737BC" w:rsidRDefault="003E0FED" w:rsidP="003E0FED">
      <w:r>
        <w:t>En bénéficiant des garanties offertes par ce contrat, votre collectivité s’assure d’un remboursement des absences pour permettre le remplacement des agents indisponibles pour maladie ou accident.</w:t>
      </w:r>
    </w:p>
    <w:p w14:paraId="5A9FE614" w14:textId="77777777" w:rsidR="002F07C9" w:rsidRDefault="002F07C9" w:rsidP="00A737BC"/>
    <w:p w14:paraId="77497550" w14:textId="77777777" w:rsidR="0070567E" w:rsidRDefault="0070567E" w:rsidP="0070567E">
      <w:pPr>
        <w:pStyle w:val="Titre1"/>
      </w:pPr>
      <w:bookmarkStart w:id="4" w:name="_Toc208779369"/>
      <w:r>
        <w:t>LES CONTACTS</w:t>
      </w:r>
      <w:bookmarkEnd w:id="4"/>
    </w:p>
    <w:p w14:paraId="76985E71" w14:textId="77777777" w:rsidR="005C3DD6" w:rsidRDefault="0070567E" w:rsidP="00A737BC">
      <w:r>
        <w:t xml:space="preserve">Adresse courriel : </w:t>
      </w:r>
      <w:r w:rsidR="005C3DD6">
        <w:t>psc</w:t>
      </w:r>
      <w:r w:rsidR="003E0FED" w:rsidRPr="003E0FED">
        <w:t>@cdg29.bzh</w:t>
      </w:r>
    </w:p>
    <w:p w14:paraId="58339F6D" w14:textId="55CEB8E7" w:rsidR="00486C40" w:rsidRDefault="0070567E" w:rsidP="00A737BC">
      <w:r>
        <w:t>Téléphone : 02 98 64 11 30</w:t>
      </w:r>
    </w:p>
    <w:p w14:paraId="23F94771" w14:textId="77777777" w:rsidR="002F07C9" w:rsidRDefault="002F07C9" w:rsidP="00A737BC"/>
    <w:p w14:paraId="733831B0" w14:textId="77777777" w:rsidR="002F07C9" w:rsidRPr="002F07C9" w:rsidRDefault="002F07C9" w:rsidP="002F07C9">
      <w:pPr>
        <w:pStyle w:val="Titre1"/>
      </w:pPr>
      <w:bookmarkStart w:id="5" w:name="_Toc208779370"/>
      <w:r w:rsidRPr="002F07C9">
        <w:t>LES TARIFS</w:t>
      </w:r>
      <w:bookmarkEnd w:id="5"/>
    </w:p>
    <w:p w14:paraId="5F6B86F9" w14:textId="77777777" w:rsidR="002F07C9" w:rsidRDefault="002F07C9" w:rsidP="002F07C9">
      <w:r>
        <w:t>Les tarifs sont disponibles dans notre fonds documentaire en tapant le mot clé « tarif ».</w:t>
      </w:r>
    </w:p>
    <w:p w14:paraId="6658AED6" w14:textId="77777777" w:rsidR="002F07C9" w:rsidRDefault="002F07C9" w:rsidP="00A737BC"/>
    <w:p w14:paraId="029B0D42" w14:textId="6318080B" w:rsidR="002F07C9" w:rsidRDefault="003E0FED" w:rsidP="002F07C9">
      <w:pPr>
        <w:pStyle w:val="Titre1"/>
      </w:pPr>
      <w:bookmarkStart w:id="6" w:name="_Toc208779371"/>
      <w:r w:rsidRPr="003E0FED">
        <w:t>LE DÉROULEMENT DE L’INTERVENTION</w:t>
      </w:r>
      <w:bookmarkEnd w:id="6"/>
    </w:p>
    <w:p w14:paraId="5B766071" w14:textId="77777777" w:rsidR="003E0FED" w:rsidRPr="003E0FED" w:rsidRDefault="003E0FED" w:rsidP="003E0FED">
      <w:pPr>
        <w:pStyle w:val="Titre2"/>
      </w:pPr>
      <w:bookmarkStart w:id="7" w:name="_Toc208779372"/>
      <w:r w:rsidRPr="003E0FED">
        <w:t>Phase préparatoire d’adhésion</w:t>
      </w:r>
      <w:bookmarkEnd w:id="7"/>
    </w:p>
    <w:p w14:paraId="20DAAAAE" w14:textId="70DA0F10" w:rsidR="005C3DD6" w:rsidRDefault="005C3DD6" w:rsidP="005C3DD6">
      <w:pPr>
        <w:pStyle w:val="Titre3"/>
        <w:rPr>
          <w:rStyle w:val="Titre3Car"/>
        </w:rPr>
      </w:pPr>
      <w:bookmarkStart w:id="8" w:name="_Toc208779373"/>
      <w:r w:rsidRPr="005C3DD6">
        <w:rPr>
          <w:rStyle w:val="Titre3Car"/>
        </w:rPr>
        <w:t xml:space="preserve">La collectivité envoie le formulaire d’adhésion au Centre de Gestion qui le </w:t>
      </w:r>
      <w:proofErr w:type="spellStart"/>
      <w:r w:rsidRPr="005C3DD6">
        <w:rPr>
          <w:rStyle w:val="Titre3Car"/>
        </w:rPr>
        <w:t>transf</w:t>
      </w:r>
      <w:r>
        <w:rPr>
          <w:rStyle w:val="Titre3Car"/>
        </w:rPr>
        <w:t>ère</w:t>
      </w:r>
      <w:proofErr w:type="spellEnd"/>
      <w:r w:rsidRPr="005C3DD6">
        <w:rPr>
          <w:rStyle w:val="Titre3Car"/>
        </w:rPr>
        <w:t xml:space="preserve"> à l’assureur.</w:t>
      </w:r>
      <w:bookmarkEnd w:id="8"/>
    </w:p>
    <w:p w14:paraId="0785B417" w14:textId="0791EB8C" w:rsidR="002F07C9" w:rsidRDefault="005C3DD6" w:rsidP="005C3DD6">
      <w:pPr>
        <w:pStyle w:val="Titre3"/>
      </w:pPr>
      <w:bookmarkStart w:id="9" w:name="_Toc208779374"/>
      <w:r>
        <w:t>L’assureur envoie ensuite le dossier complet à la collectivité avec les contrats, notices d’information et imprimés de déclaration de sinistres.</w:t>
      </w:r>
      <w:bookmarkEnd w:id="9"/>
    </w:p>
    <w:p w14:paraId="62388441" w14:textId="77777777" w:rsidR="002F07C9" w:rsidRDefault="002F07C9" w:rsidP="002F07C9"/>
    <w:p w14:paraId="5D0D4858" w14:textId="77777777" w:rsidR="003E0FED" w:rsidRPr="003E0FED" w:rsidRDefault="003E0FED" w:rsidP="003E0FED">
      <w:pPr>
        <w:pStyle w:val="Titre2"/>
      </w:pPr>
      <w:bookmarkStart w:id="10" w:name="_Toc208779375"/>
      <w:r w:rsidRPr="003E0FED">
        <w:t>Pendant le contrat</w:t>
      </w:r>
      <w:bookmarkEnd w:id="10"/>
    </w:p>
    <w:p w14:paraId="619D3494" w14:textId="31F18FBF" w:rsidR="003E0FED" w:rsidRPr="003E0FED" w:rsidRDefault="003E0FED" w:rsidP="003E0FED">
      <w:pPr>
        <w:pStyle w:val="Titre3"/>
      </w:pPr>
      <w:bookmarkStart w:id="11" w:name="_Toc208779376"/>
      <w:r w:rsidRPr="003E0FED">
        <w:t>Le Centre de Gestion créé un compte internet</w:t>
      </w:r>
      <w:bookmarkEnd w:id="11"/>
    </w:p>
    <w:p w14:paraId="4A392640" w14:textId="7CA8B0F0" w:rsidR="003E0FED" w:rsidRDefault="003E0FED" w:rsidP="003E0FED">
      <w:pPr>
        <w:pStyle w:val="Titre3"/>
      </w:pPr>
      <w:bookmarkStart w:id="12" w:name="_Toc208779377"/>
      <w:r w:rsidRPr="003E0FED">
        <w:t>La collectivité déclare en ligne les sinistres dans les 90 jours et transmet en ligne tous les justificatifs</w:t>
      </w:r>
      <w:r>
        <w:t xml:space="preserve"> (certificats médicaux, bulletins de salaire, PV CMD ou CDR, décomptes CPAM, enquête administrative)</w:t>
      </w:r>
      <w:bookmarkEnd w:id="12"/>
    </w:p>
    <w:p w14:paraId="7247D6C6" w14:textId="61331FF1" w:rsidR="003E0FED" w:rsidRPr="003E0FED" w:rsidRDefault="003E0FED" w:rsidP="0077665A">
      <w:pPr>
        <w:pStyle w:val="Titre3"/>
      </w:pPr>
      <w:bookmarkStart w:id="13" w:name="_Toc208779378"/>
      <w:r>
        <w:t>Mise en paiement par le CDG29 dès réception des justificatifs</w:t>
      </w:r>
      <w:r>
        <w:br/>
        <w:t>Demande de paiement à l’assureur</w:t>
      </w:r>
      <w:r>
        <w:br/>
        <w:t>Règlement et bordereaux validés par l’assureur</w:t>
      </w:r>
      <w:bookmarkEnd w:id="13"/>
    </w:p>
    <w:p w14:paraId="66F6FF15" w14:textId="77777777" w:rsidR="003E0FED" w:rsidRPr="003E0FED" w:rsidRDefault="003E0FED" w:rsidP="003E0FED">
      <w:pPr>
        <w:rPr>
          <w:rFonts w:eastAsiaTheme="majorEastAsia" w:cstheme="majorBidi"/>
          <w:b/>
          <w:sz w:val="22"/>
          <w:szCs w:val="26"/>
        </w:rPr>
      </w:pPr>
    </w:p>
    <w:p w14:paraId="05442A42" w14:textId="17DF4F10" w:rsidR="005C3DD6" w:rsidRPr="003E0FED" w:rsidRDefault="005C3DD6" w:rsidP="005C3DD6">
      <w:pPr>
        <w:pStyle w:val="Titre2"/>
      </w:pPr>
      <w:bookmarkStart w:id="14" w:name="_Toc208779379"/>
      <w:r w:rsidRPr="005C3DD6">
        <w:t>Gestion des cotisations (2 appels de prime pendant l’année)</w:t>
      </w:r>
      <w:bookmarkEnd w:id="14"/>
    </w:p>
    <w:p w14:paraId="4214BACC" w14:textId="77777777" w:rsidR="005C3DD6" w:rsidRDefault="005C3DD6" w:rsidP="005C3DD6">
      <w:r>
        <w:t>Sur le compte internet de l’assureur :</w:t>
      </w:r>
    </w:p>
    <w:p w14:paraId="615A6642" w14:textId="02F41C8E" w:rsidR="005C3DD6" w:rsidRDefault="005C3DD6" w:rsidP="005C3DD6">
      <w:pPr>
        <w:pStyle w:val="Paragraphedeliste"/>
        <w:numPr>
          <w:ilvl w:val="0"/>
          <w:numId w:val="69"/>
        </w:numPr>
      </w:pPr>
      <w:r>
        <w:t xml:space="preserve">Appel de prime provisionnelle. </w:t>
      </w:r>
      <w:r w:rsidRPr="005C3DD6">
        <w:t>En début d’exercice, la prime est calculée sur la dernière base connue.</w:t>
      </w:r>
    </w:p>
    <w:p w14:paraId="163013D8" w14:textId="763B957D" w:rsidR="005C3DD6" w:rsidRDefault="005C3DD6" w:rsidP="005C3DD6">
      <w:pPr>
        <w:pStyle w:val="Paragraphedeliste"/>
        <w:numPr>
          <w:ilvl w:val="0"/>
          <w:numId w:val="69"/>
        </w:numPr>
      </w:pPr>
      <w:r>
        <w:t>Appel de prime complémentaire ou de réajustements.</w:t>
      </w:r>
    </w:p>
    <w:p w14:paraId="420FD306" w14:textId="77777777" w:rsidR="005C3DD6" w:rsidRDefault="005C3DD6" w:rsidP="005C3DD6">
      <w:pPr>
        <w:pStyle w:val="Paragraphedeliste"/>
        <w:numPr>
          <w:ilvl w:val="0"/>
          <w:numId w:val="69"/>
        </w:numPr>
      </w:pPr>
      <w:r>
        <w:lastRenderedPageBreak/>
        <w:t>Les d</w:t>
      </w:r>
      <w:r w:rsidRPr="005C3DD6">
        <w:t>éclarations des bases d’assurances se font également sur internet.</w:t>
      </w:r>
    </w:p>
    <w:p w14:paraId="6BA35460" w14:textId="57FFD6EA" w:rsidR="002F07C9" w:rsidRDefault="002F07C9" w:rsidP="002F07C9"/>
    <w:sectPr w:rsidR="002F07C9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F667" w14:textId="77777777" w:rsidR="00BC25E8" w:rsidRDefault="00BC25E8">
      <w:pPr>
        <w:spacing w:after="0"/>
      </w:pPr>
      <w:r>
        <w:separator/>
      </w:r>
    </w:p>
  </w:endnote>
  <w:endnote w:type="continuationSeparator" w:id="0">
    <w:p w14:paraId="3A9BE15B" w14:textId="77777777" w:rsidR="00BC25E8" w:rsidRDefault="00BC2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0629" w14:textId="77777777" w:rsidR="00101212" w:rsidRDefault="001012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2E2" w14:textId="6B3C9927" w:rsidR="00854CD5" w:rsidRPr="0013050A" w:rsidRDefault="00BD1194" w:rsidP="002F648F">
    <w:pPr>
      <w:pStyle w:val="Pieddepage"/>
      <w:spacing w:before="0" w:beforeAutospacing="0"/>
      <w:jc w:val="right"/>
      <w:rPr>
        <w:noProof/>
        <w:sz w:val="18"/>
        <w:szCs w:val="18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0ECC6FD9" w14:textId="77777777" w:rsidR="00101212" w:rsidRPr="00E20F1D" w:rsidRDefault="00101212" w:rsidP="00101212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Centre de Gestion du Finistère</w:t>
    </w:r>
  </w:p>
  <w:p w14:paraId="53EB82EA" w14:textId="77777777" w:rsidR="00101212" w:rsidRPr="00E20F1D" w:rsidRDefault="00101212" w:rsidP="00101212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7 Boulevard du Finistère · CS 44048 · 29337 Quimper Cedex</w:t>
    </w:r>
  </w:p>
  <w:p w14:paraId="0D0A35DC" w14:textId="77777777" w:rsidR="00101212" w:rsidRPr="00E20F1D" w:rsidRDefault="00101212" w:rsidP="00101212">
    <w:pPr>
      <w:pStyle w:val="Pieddepage"/>
      <w:spacing w:before="0" w:beforeAutospacing="0"/>
      <w:jc w:val="right"/>
      <w:rPr>
        <w:sz w:val="16"/>
        <w:szCs w:val="16"/>
      </w:rPr>
    </w:pPr>
    <w:r w:rsidRPr="00E20F1D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5F87" w14:textId="77777777" w:rsidR="00BC25E8" w:rsidRDefault="00BC25E8">
      <w:pPr>
        <w:spacing w:after="0"/>
      </w:pPr>
      <w:r>
        <w:separator/>
      </w:r>
    </w:p>
  </w:footnote>
  <w:footnote w:type="continuationSeparator" w:id="0">
    <w:p w14:paraId="2C08BFB6" w14:textId="77777777" w:rsidR="00BC25E8" w:rsidRDefault="00BC25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8D2" w14:textId="77777777" w:rsidR="00101212" w:rsidRDefault="001012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B9C2" w14:textId="77777777" w:rsidR="00D31B37" w:rsidRDefault="00D31B37">
    <w:pPr>
      <w:pStyle w:val="En-tte"/>
    </w:pPr>
    <w:r w:rsidRPr="00D31B37">
      <w:rPr>
        <w:noProof/>
      </w:rPr>
      <w:drawing>
        <wp:anchor distT="0" distB="0" distL="114300" distR="114300" simplePos="0" relativeHeight="251659264" behindDoc="1" locked="1" layoutInCell="1" allowOverlap="1" wp14:anchorId="11269A61" wp14:editId="10FD3589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A14" w14:textId="77777777" w:rsidR="00101212" w:rsidRDefault="001012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A13"/>
    <w:multiLevelType w:val="hybridMultilevel"/>
    <w:tmpl w:val="8F066BD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F26"/>
    <w:multiLevelType w:val="hybridMultilevel"/>
    <w:tmpl w:val="3550CD7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F1017"/>
    <w:multiLevelType w:val="hybridMultilevel"/>
    <w:tmpl w:val="170680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23629"/>
    <w:multiLevelType w:val="multilevel"/>
    <w:tmpl w:val="FB6AAE52"/>
    <w:numStyleLink w:val="StyleCDG29"/>
  </w:abstractNum>
  <w:abstractNum w:abstractNumId="17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F6131"/>
    <w:multiLevelType w:val="hybridMultilevel"/>
    <w:tmpl w:val="DDC8D5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2DC0AD8"/>
    <w:multiLevelType w:val="multilevel"/>
    <w:tmpl w:val="FB6AAE52"/>
    <w:numStyleLink w:val="StyleCDG29"/>
  </w:abstractNum>
  <w:abstractNum w:abstractNumId="46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037F06"/>
    <w:multiLevelType w:val="hybridMultilevel"/>
    <w:tmpl w:val="AC863C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9E56CE"/>
    <w:multiLevelType w:val="multilevel"/>
    <w:tmpl w:val="FB6AAE52"/>
    <w:numStyleLink w:val="StyleCDG29"/>
  </w:abstractNum>
  <w:abstractNum w:abstractNumId="59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050755"/>
    <w:multiLevelType w:val="hybridMultilevel"/>
    <w:tmpl w:val="FEFA7B2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64"/>
  </w:num>
  <w:num w:numId="2" w16cid:durableId="1276867361">
    <w:abstractNumId w:val="55"/>
  </w:num>
  <w:num w:numId="3" w16cid:durableId="1791434139">
    <w:abstractNumId w:val="45"/>
  </w:num>
  <w:num w:numId="4" w16cid:durableId="579755477">
    <w:abstractNumId w:val="16"/>
  </w:num>
  <w:num w:numId="5" w16cid:durableId="348408811">
    <w:abstractNumId w:val="58"/>
  </w:num>
  <w:num w:numId="6" w16cid:durableId="829365018">
    <w:abstractNumId w:val="27"/>
  </w:num>
  <w:num w:numId="7" w16cid:durableId="481703836">
    <w:abstractNumId w:val="39"/>
  </w:num>
  <w:num w:numId="8" w16cid:durableId="1037856742">
    <w:abstractNumId w:val="12"/>
  </w:num>
  <w:num w:numId="9" w16cid:durableId="882864025">
    <w:abstractNumId w:val="30"/>
  </w:num>
  <w:num w:numId="10" w16cid:durableId="1760516121">
    <w:abstractNumId w:val="23"/>
  </w:num>
  <w:num w:numId="11" w16cid:durableId="1685940671">
    <w:abstractNumId w:val="50"/>
  </w:num>
  <w:num w:numId="12" w16cid:durableId="1071856059">
    <w:abstractNumId w:val="53"/>
  </w:num>
  <w:num w:numId="13" w16cid:durableId="1958289807">
    <w:abstractNumId w:val="17"/>
  </w:num>
  <w:num w:numId="14" w16cid:durableId="1790776872">
    <w:abstractNumId w:val="37"/>
  </w:num>
  <w:num w:numId="15" w16cid:durableId="1048145195">
    <w:abstractNumId w:val="56"/>
  </w:num>
  <w:num w:numId="16" w16cid:durableId="1501895137">
    <w:abstractNumId w:val="65"/>
  </w:num>
  <w:num w:numId="17" w16cid:durableId="290943727">
    <w:abstractNumId w:val="36"/>
  </w:num>
  <w:num w:numId="18" w16cid:durableId="1431464905">
    <w:abstractNumId w:val="47"/>
  </w:num>
  <w:num w:numId="19" w16cid:durableId="2049068742">
    <w:abstractNumId w:val="63"/>
  </w:num>
  <w:num w:numId="20" w16cid:durableId="1772705373">
    <w:abstractNumId w:val="24"/>
  </w:num>
  <w:num w:numId="21" w16cid:durableId="949706886">
    <w:abstractNumId w:val="33"/>
  </w:num>
  <w:num w:numId="22" w16cid:durableId="1854302915">
    <w:abstractNumId w:val="9"/>
  </w:num>
  <w:num w:numId="23" w16cid:durableId="343870721">
    <w:abstractNumId w:val="7"/>
  </w:num>
  <w:num w:numId="24" w16cid:durableId="428350529">
    <w:abstractNumId w:val="21"/>
  </w:num>
  <w:num w:numId="25" w16cid:durableId="339697173">
    <w:abstractNumId w:val="4"/>
  </w:num>
  <w:num w:numId="26" w16cid:durableId="1871645114">
    <w:abstractNumId w:val="54"/>
  </w:num>
  <w:num w:numId="27" w16cid:durableId="125004772">
    <w:abstractNumId w:val="42"/>
  </w:num>
  <w:num w:numId="28" w16cid:durableId="1645433101">
    <w:abstractNumId w:val="14"/>
  </w:num>
  <w:num w:numId="29" w16cid:durableId="1380477469">
    <w:abstractNumId w:val="13"/>
  </w:num>
  <w:num w:numId="30" w16cid:durableId="455878012">
    <w:abstractNumId w:val="26"/>
  </w:num>
  <w:num w:numId="31" w16cid:durableId="1559903044">
    <w:abstractNumId w:val="46"/>
  </w:num>
  <w:num w:numId="32" w16cid:durableId="619528948">
    <w:abstractNumId w:val="49"/>
  </w:num>
  <w:num w:numId="33" w16cid:durableId="1583566419">
    <w:abstractNumId w:val="11"/>
  </w:num>
  <w:num w:numId="34" w16cid:durableId="1607540003">
    <w:abstractNumId w:val="6"/>
  </w:num>
  <w:num w:numId="35" w16cid:durableId="368839942">
    <w:abstractNumId w:val="40"/>
  </w:num>
  <w:num w:numId="36" w16cid:durableId="1818105065">
    <w:abstractNumId w:val="52"/>
  </w:num>
  <w:num w:numId="37" w16cid:durableId="284969122">
    <w:abstractNumId w:val="28"/>
  </w:num>
  <w:num w:numId="38" w16cid:durableId="644090322">
    <w:abstractNumId w:val="57"/>
  </w:num>
  <w:num w:numId="39" w16cid:durableId="2104182130">
    <w:abstractNumId w:val="59"/>
  </w:num>
  <w:num w:numId="40" w16cid:durableId="559099431">
    <w:abstractNumId w:val="43"/>
  </w:num>
  <w:num w:numId="41" w16cid:durableId="161046311">
    <w:abstractNumId w:val="2"/>
  </w:num>
  <w:num w:numId="42" w16cid:durableId="1422484795">
    <w:abstractNumId w:val="44"/>
  </w:num>
  <w:num w:numId="43" w16cid:durableId="534930565">
    <w:abstractNumId w:val="68"/>
  </w:num>
  <w:num w:numId="44" w16cid:durableId="1452899719">
    <w:abstractNumId w:val="62"/>
  </w:num>
  <w:num w:numId="45" w16cid:durableId="149247993">
    <w:abstractNumId w:val="22"/>
  </w:num>
  <w:num w:numId="46" w16cid:durableId="2110000503">
    <w:abstractNumId w:val="38"/>
  </w:num>
  <w:num w:numId="47" w16cid:durableId="811755577">
    <w:abstractNumId w:val="15"/>
  </w:num>
  <w:num w:numId="48" w16cid:durableId="1765540710">
    <w:abstractNumId w:val="8"/>
  </w:num>
  <w:num w:numId="49" w16cid:durableId="236912671">
    <w:abstractNumId w:val="51"/>
  </w:num>
  <w:num w:numId="50" w16cid:durableId="1644768762">
    <w:abstractNumId w:val="67"/>
  </w:num>
  <w:num w:numId="51" w16cid:durableId="563181294">
    <w:abstractNumId w:val="41"/>
  </w:num>
  <w:num w:numId="52" w16cid:durableId="731779641">
    <w:abstractNumId w:val="32"/>
  </w:num>
  <w:num w:numId="53" w16cid:durableId="182132538">
    <w:abstractNumId w:val="25"/>
  </w:num>
  <w:num w:numId="54" w16cid:durableId="698971538">
    <w:abstractNumId w:val="18"/>
  </w:num>
  <w:num w:numId="55" w16cid:durableId="1817330679">
    <w:abstractNumId w:val="20"/>
  </w:num>
  <w:num w:numId="56" w16cid:durableId="448014825">
    <w:abstractNumId w:val="3"/>
  </w:num>
  <w:num w:numId="57" w16cid:durableId="948390130">
    <w:abstractNumId w:val="19"/>
  </w:num>
  <w:num w:numId="58" w16cid:durableId="1969125548">
    <w:abstractNumId w:val="35"/>
  </w:num>
  <w:num w:numId="59" w16cid:durableId="1045642086">
    <w:abstractNumId w:val="61"/>
  </w:num>
  <w:num w:numId="60" w16cid:durableId="62802763">
    <w:abstractNumId w:val="29"/>
  </w:num>
  <w:num w:numId="61" w16cid:durableId="283075032">
    <w:abstractNumId w:val="66"/>
  </w:num>
  <w:num w:numId="62" w16cid:durableId="86391836">
    <w:abstractNumId w:val="34"/>
  </w:num>
  <w:num w:numId="63" w16cid:durableId="1559777141">
    <w:abstractNumId w:val="5"/>
  </w:num>
  <w:num w:numId="64" w16cid:durableId="2114008901">
    <w:abstractNumId w:val="0"/>
  </w:num>
  <w:num w:numId="65" w16cid:durableId="908154832">
    <w:abstractNumId w:val="10"/>
  </w:num>
  <w:num w:numId="66" w16cid:durableId="143394101">
    <w:abstractNumId w:val="1"/>
  </w:num>
  <w:num w:numId="67" w16cid:durableId="1550847581">
    <w:abstractNumId w:val="31"/>
  </w:num>
  <w:num w:numId="68" w16cid:durableId="882404832">
    <w:abstractNumId w:val="60"/>
  </w:num>
  <w:num w:numId="69" w16cid:durableId="106595480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23DA2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75FD"/>
    <w:rsid w:val="000E2616"/>
    <w:rsid w:val="000E49A6"/>
    <w:rsid w:val="000E5958"/>
    <w:rsid w:val="000F3056"/>
    <w:rsid w:val="000F4D00"/>
    <w:rsid w:val="00101212"/>
    <w:rsid w:val="00113519"/>
    <w:rsid w:val="00125163"/>
    <w:rsid w:val="0013050A"/>
    <w:rsid w:val="00172225"/>
    <w:rsid w:val="001728C7"/>
    <w:rsid w:val="001809FD"/>
    <w:rsid w:val="001919E8"/>
    <w:rsid w:val="00196F67"/>
    <w:rsid w:val="001A1995"/>
    <w:rsid w:val="001B6F16"/>
    <w:rsid w:val="001C6823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50186"/>
    <w:rsid w:val="0025454A"/>
    <w:rsid w:val="00260E29"/>
    <w:rsid w:val="00262675"/>
    <w:rsid w:val="00267C04"/>
    <w:rsid w:val="00270D2F"/>
    <w:rsid w:val="0027629F"/>
    <w:rsid w:val="00286AD8"/>
    <w:rsid w:val="002A0CE3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C0EC2"/>
    <w:rsid w:val="003D2C0F"/>
    <w:rsid w:val="003D7E32"/>
    <w:rsid w:val="003E0FED"/>
    <w:rsid w:val="003E31E1"/>
    <w:rsid w:val="003F4D52"/>
    <w:rsid w:val="00404219"/>
    <w:rsid w:val="00414FF7"/>
    <w:rsid w:val="0041628F"/>
    <w:rsid w:val="00453724"/>
    <w:rsid w:val="00470D6F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50F9D"/>
    <w:rsid w:val="00574F80"/>
    <w:rsid w:val="00595352"/>
    <w:rsid w:val="005B2D06"/>
    <w:rsid w:val="005C03FD"/>
    <w:rsid w:val="005C3DD6"/>
    <w:rsid w:val="005D2549"/>
    <w:rsid w:val="005D7AC8"/>
    <w:rsid w:val="005E21F9"/>
    <w:rsid w:val="005E4367"/>
    <w:rsid w:val="0063549F"/>
    <w:rsid w:val="0063768D"/>
    <w:rsid w:val="00655CF7"/>
    <w:rsid w:val="006917E4"/>
    <w:rsid w:val="00694634"/>
    <w:rsid w:val="00695B34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7101A"/>
    <w:rsid w:val="00777836"/>
    <w:rsid w:val="007863F5"/>
    <w:rsid w:val="00795CB8"/>
    <w:rsid w:val="007A6822"/>
    <w:rsid w:val="007B0981"/>
    <w:rsid w:val="007B606E"/>
    <w:rsid w:val="007C3567"/>
    <w:rsid w:val="007D070F"/>
    <w:rsid w:val="007E1391"/>
    <w:rsid w:val="007E69BE"/>
    <w:rsid w:val="008249B6"/>
    <w:rsid w:val="00835D3F"/>
    <w:rsid w:val="008513F8"/>
    <w:rsid w:val="00854CD5"/>
    <w:rsid w:val="0087623A"/>
    <w:rsid w:val="00881EE3"/>
    <w:rsid w:val="00887229"/>
    <w:rsid w:val="008974A4"/>
    <w:rsid w:val="008B04E2"/>
    <w:rsid w:val="008C05FF"/>
    <w:rsid w:val="008D4A69"/>
    <w:rsid w:val="008E0907"/>
    <w:rsid w:val="0091141F"/>
    <w:rsid w:val="00941437"/>
    <w:rsid w:val="00973868"/>
    <w:rsid w:val="009814D1"/>
    <w:rsid w:val="009A0446"/>
    <w:rsid w:val="009A6B11"/>
    <w:rsid w:val="009B3C61"/>
    <w:rsid w:val="009B42F1"/>
    <w:rsid w:val="009C153D"/>
    <w:rsid w:val="009C596D"/>
    <w:rsid w:val="009D4345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9763F"/>
    <w:rsid w:val="00AA7406"/>
    <w:rsid w:val="00AB38FD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97070"/>
    <w:rsid w:val="00BB5328"/>
    <w:rsid w:val="00BC116D"/>
    <w:rsid w:val="00BC25E8"/>
    <w:rsid w:val="00BD0963"/>
    <w:rsid w:val="00BD1194"/>
    <w:rsid w:val="00BD1631"/>
    <w:rsid w:val="00BF324C"/>
    <w:rsid w:val="00C1727F"/>
    <w:rsid w:val="00C24514"/>
    <w:rsid w:val="00C33580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31B37"/>
    <w:rsid w:val="00D35E5A"/>
    <w:rsid w:val="00D56C7A"/>
    <w:rsid w:val="00D7513C"/>
    <w:rsid w:val="00D875D8"/>
    <w:rsid w:val="00DC7ED3"/>
    <w:rsid w:val="00DD1483"/>
    <w:rsid w:val="00DF1AD3"/>
    <w:rsid w:val="00DF43EF"/>
    <w:rsid w:val="00E045C2"/>
    <w:rsid w:val="00E10724"/>
    <w:rsid w:val="00E219E9"/>
    <w:rsid w:val="00E25056"/>
    <w:rsid w:val="00E35B37"/>
    <w:rsid w:val="00E87E3A"/>
    <w:rsid w:val="00EA5D61"/>
    <w:rsid w:val="00EB1359"/>
    <w:rsid w:val="00EB33AD"/>
    <w:rsid w:val="00ED0020"/>
    <w:rsid w:val="00ED727F"/>
    <w:rsid w:val="00EE1CE2"/>
    <w:rsid w:val="00EF5F72"/>
    <w:rsid w:val="00F0107A"/>
    <w:rsid w:val="00F279D5"/>
    <w:rsid w:val="00F27EF6"/>
    <w:rsid w:val="00F375EA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11_PROJETS\Modele_proje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Modele_projet_Verdana.dotx</Template>
  <TotalTime>18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2025-09-14T19:34:00Z</dcterms:created>
  <dcterms:modified xsi:type="dcterms:W3CDTF">2025-09-15T13:00:00Z</dcterms:modified>
</cp:coreProperties>
</file>